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5F06" w14:textId="2CD9EDCA" w:rsidR="00A223E8" w:rsidRDefault="00A223E8" w:rsidP="000E3879">
      <w:pPr>
        <w:keepNext/>
        <w:overflowPunct w:val="0"/>
        <w:autoSpaceDE w:val="0"/>
        <w:autoSpaceDN w:val="0"/>
        <w:adjustRightInd w:val="0"/>
        <w:spacing w:after="60" w:line="240" w:lineRule="auto"/>
        <w:ind w:right="-993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28"/>
          <w:u w:color="000000"/>
          <w:lang w:val="de-DE" w:eastAsia="de-DE"/>
        </w:rPr>
      </w:pPr>
    </w:p>
    <w:p w14:paraId="0B41AD76" w14:textId="595B6B6A" w:rsidR="00A223E8" w:rsidRDefault="00A223E8" w:rsidP="00A223E8">
      <w:pPr>
        <w:pStyle w:val="a9"/>
        <w:rPr>
          <w:rFonts w:ascii="Arial" w:eastAsia="Times New Roman" w:hAnsi="Arial" w:cs="Arial"/>
          <w:b/>
          <w:bCs/>
          <w:kern w:val="28"/>
          <w:u w:color="000000"/>
          <w:lang w:val="de-DE" w:eastAsia="de-DE"/>
        </w:rPr>
      </w:pPr>
    </w:p>
    <w:p w14:paraId="2334A670" w14:textId="735047A6" w:rsidR="00A223E8" w:rsidRDefault="00A223E8" w:rsidP="00A223E8">
      <w:pPr>
        <w:pStyle w:val="a9"/>
        <w:rPr>
          <w:rFonts w:ascii="Arial" w:eastAsia="Times New Roman" w:hAnsi="Arial" w:cs="Arial"/>
          <w:b/>
          <w:bCs/>
          <w:kern w:val="28"/>
          <w:u w:color="000000"/>
          <w:lang w:val="de-DE" w:eastAsia="de-DE"/>
        </w:rPr>
      </w:pPr>
    </w:p>
    <w:p w14:paraId="69D992B4" w14:textId="5ADDF6B4" w:rsidR="00435E84" w:rsidRDefault="00435E84" w:rsidP="00A223E8">
      <w:pPr>
        <w:pStyle w:val="a9"/>
        <w:rPr>
          <w:rFonts w:ascii="Arial" w:eastAsia="Times New Roman" w:hAnsi="Arial" w:cs="Arial"/>
          <w:b/>
          <w:bCs/>
          <w:kern w:val="28"/>
          <w:u w:color="000000"/>
          <w:lang w:val="de-DE" w:eastAsia="de-DE"/>
        </w:rPr>
      </w:pPr>
    </w:p>
    <w:p w14:paraId="104E4623" w14:textId="25E57207" w:rsidR="00435E84" w:rsidRDefault="00435E84" w:rsidP="00A223E8">
      <w:pPr>
        <w:pStyle w:val="a9"/>
        <w:rPr>
          <w:rFonts w:ascii="Arial" w:eastAsia="Times New Roman" w:hAnsi="Arial" w:cs="Arial"/>
          <w:b/>
          <w:bCs/>
          <w:kern w:val="28"/>
          <w:u w:color="000000"/>
          <w:lang w:val="de-DE" w:eastAsia="de-DE"/>
        </w:rPr>
      </w:pPr>
    </w:p>
    <w:p w14:paraId="6E542AB1" w14:textId="77777777" w:rsidR="00435E84" w:rsidRDefault="00435E84" w:rsidP="00A223E8">
      <w:pPr>
        <w:pStyle w:val="a9"/>
        <w:rPr>
          <w:rFonts w:ascii="Arial" w:eastAsia="Times New Roman" w:hAnsi="Arial" w:cs="Arial"/>
          <w:b/>
          <w:bCs/>
          <w:kern w:val="28"/>
          <w:u w:color="000000"/>
          <w:lang w:val="de-DE" w:eastAsia="de-DE"/>
        </w:rPr>
      </w:pPr>
    </w:p>
    <w:tbl>
      <w:tblPr>
        <w:tblW w:w="10365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3650"/>
        <w:gridCol w:w="4805"/>
      </w:tblGrid>
      <w:tr w:rsidR="00435E84" w14:paraId="25B1A9AD" w14:textId="77777777" w:rsidTr="00F66C23">
        <w:trPr>
          <w:trHeight w:val="345"/>
        </w:trPr>
        <w:tc>
          <w:tcPr>
            <w:tcW w:w="10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EFE87EF" w14:textId="77777777" w:rsidR="00435E84" w:rsidRDefault="00435E84" w:rsidP="00F66C23">
            <w:pPr>
              <w:pStyle w:val="1"/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</w:rPr>
              <w:t xml:space="preserve">ТЕХНИЧЕСКАЯ СПЕЦИФИКАЦИЯ </w:t>
            </w:r>
            <w:r>
              <w:rPr>
                <w:rFonts w:ascii="Tahoma" w:eastAsia="Tahoma" w:hAnsi="Tahoma" w:cs="Tahoma"/>
                <w:b/>
                <w:smallCaps/>
                <w:color w:val="000000"/>
              </w:rPr>
              <w:br/>
              <w:t>ТЕНТОВАННЫЙ ПОЛУПРИЦЕП, МОДЕЛЬ CGS V40</w:t>
            </w:r>
          </w:p>
        </w:tc>
      </w:tr>
      <w:tr w:rsidR="00435E84" w14:paraId="0BFE777B" w14:textId="77777777" w:rsidTr="00F66C23">
        <w:trPr>
          <w:trHeight w:val="300"/>
        </w:trPr>
        <w:tc>
          <w:tcPr>
            <w:tcW w:w="5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C72120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Год выпуска</w:t>
            </w: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14E82D9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2021</w:t>
            </w:r>
          </w:p>
        </w:tc>
      </w:tr>
      <w:tr w:rsidR="00435E84" w14:paraId="2A21CD23" w14:textId="77777777" w:rsidTr="00F66C23">
        <w:trPr>
          <w:trHeight w:val="300"/>
        </w:trPr>
        <w:tc>
          <w:tcPr>
            <w:tcW w:w="5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3A6973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Под высоту ССУ тягача</w:t>
            </w: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7EC2A5C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1.100 мм</w:t>
            </w:r>
          </w:p>
        </w:tc>
      </w:tr>
      <w:tr w:rsidR="00435E84" w14:paraId="182F2CB2" w14:textId="77777777" w:rsidTr="00F66C23">
        <w:trPr>
          <w:trHeight w:val="300"/>
        </w:trPr>
        <w:tc>
          <w:tcPr>
            <w:tcW w:w="5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776A7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Габаритная длина</w:t>
            </w: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81FD4B0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16.685 мм</w:t>
            </w:r>
          </w:p>
        </w:tc>
      </w:tr>
      <w:tr w:rsidR="00435E84" w14:paraId="066A7A43" w14:textId="77777777" w:rsidTr="00F66C23">
        <w:trPr>
          <w:trHeight w:val="300"/>
        </w:trPr>
        <w:tc>
          <w:tcPr>
            <w:tcW w:w="5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D26A73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Снаряженная масса</w:t>
            </w: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74AAA0C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7.900 кг </w:t>
            </w:r>
          </w:p>
        </w:tc>
      </w:tr>
      <w:tr w:rsidR="00435E84" w14:paraId="78899D76" w14:textId="77777777" w:rsidTr="00F66C23">
        <w:trPr>
          <w:trHeight w:val="300"/>
        </w:trPr>
        <w:tc>
          <w:tcPr>
            <w:tcW w:w="5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E0FF08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Внутренняя высота</w:t>
            </w: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BA4B390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2.720 мм</w:t>
            </w:r>
          </w:p>
        </w:tc>
      </w:tr>
      <w:tr w:rsidR="00435E84" w14:paraId="5431D436" w14:textId="77777777" w:rsidTr="00F66C23">
        <w:trPr>
          <w:trHeight w:val="300"/>
        </w:trPr>
        <w:tc>
          <w:tcPr>
            <w:tcW w:w="5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6AA556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Внутренняя ширина</w:t>
            </w: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055BC9E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2.480 мм</w:t>
            </w:r>
          </w:p>
        </w:tc>
      </w:tr>
      <w:tr w:rsidR="00435E84" w14:paraId="0A55166E" w14:textId="77777777" w:rsidTr="00F66C23">
        <w:trPr>
          <w:trHeight w:val="300"/>
        </w:trPr>
        <w:tc>
          <w:tcPr>
            <w:tcW w:w="5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A6FB27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Внутренняя длина</w:t>
            </w: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EFDD159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16.500 мм</w:t>
            </w:r>
          </w:p>
        </w:tc>
      </w:tr>
      <w:tr w:rsidR="00435E84" w14:paraId="7B10FB48" w14:textId="77777777" w:rsidTr="00F66C23">
        <w:trPr>
          <w:trHeight w:val="300"/>
        </w:trPr>
        <w:tc>
          <w:tcPr>
            <w:tcW w:w="5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4A3E4B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Технически разрешенная грузоподъемность</w:t>
            </w: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444B643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47.500 кг</w:t>
            </w:r>
          </w:p>
        </w:tc>
      </w:tr>
      <w:tr w:rsidR="00435E84" w14:paraId="69CF2B33" w14:textId="77777777" w:rsidTr="00F66C23">
        <w:trPr>
          <w:trHeight w:val="264"/>
        </w:trPr>
        <w:tc>
          <w:tcPr>
            <w:tcW w:w="103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14:paraId="5584FC48" w14:textId="77777777" w:rsidR="00435E84" w:rsidRDefault="00435E84" w:rsidP="00F66C23">
            <w:pPr>
              <w:pStyle w:val="1"/>
              <w:ind w:left="108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ШАССИ И КУЗОВ</w:t>
            </w:r>
          </w:p>
        </w:tc>
      </w:tr>
      <w:tr w:rsidR="00435E84" w14:paraId="74D1569A" w14:textId="77777777" w:rsidTr="00F66C23">
        <w:trPr>
          <w:trHeight w:val="645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4BB92396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Шасси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18970617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Высокопрочная рама из стали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ArcelorMittal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марки S700МС, сварная конструкция. Поперечные усиливающие элементы из стали марки S500 с интервалом установки 550мм</w:t>
            </w:r>
          </w:p>
        </w:tc>
      </w:tr>
      <w:tr w:rsidR="00435E84" w14:paraId="7899FD22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F43F45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Пол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E2BEE24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Подходит для использования погрузчиков массой до 7000 кг.</w:t>
            </w:r>
          </w:p>
          <w:p w14:paraId="365BBE22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Влагостойкие 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>30-ти миллиметровые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фанерные листы с полимерным покрытием. </w:t>
            </w:r>
            <w:r>
              <w:rPr>
                <w:rFonts w:ascii="Tahoma" w:eastAsia="Tahoma" w:hAnsi="Tahoma" w:cs="Tahoma"/>
                <w:color w:val="000000"/>
              </w:rPr>
              <w:br/>
              <w:t>14 карманов в полу для стальных коников.</w:t>
            </w:r>
          </w:p>
        </w:tc>
      </w:tr>
      <w:tr w:rsidR="00435E84" w14:paraId="312509F1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90F8F0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Передняя панель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2AAE521" w14:textId="77777777" w:rsidR="00435E84" w:rsidRDefault="00435E84" w:rsidP="00F66C23">
            <w:pPr>
              <w:pStyle w:val="1"/>
              <w:tabs>
                <w:tab w:val="left" w:pos="2263"/>
              </w:tabs>
              <w:ind w:left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Алюминиевая панель со стальными угловыми усилителями и дополнительной внутренней усиливающей пластиной 450 мм. </w:t>
            </w:r>
          </w:p>
        </w:tc>
      </w:tr>
      <w:tr w:rsidR="00435E84" w14:paraId="45529F3A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FB2C0D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Боковая часть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2D5F631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Боковая раздвижная штора 900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гр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/м2 с увеличенным количеством роликов для легкого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расшторивания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. Механизм натяжения и ослабления тента, управляемый одной рукой.</w:t>
            </w:r>
            <w:r>
              <w:rPr>
                <w:rFonts w:ascii="Tahoma" w:eastAsia="Tahoma" w:hAnsi="Tahoma" w:cs="Tahoma"/>
                <w:color w:val="000000"/>
                <w:highlight w:val="yellow"/>
              </w:rPr>
              <w:br/>
            </w:r>
            <w:r>
              <w:rPr>
                <w:rFonts w:ascii="Tahoma" w:eastAsia="Tahoma" w:hAnsi="Tahoma" w:cs="Tahoma"/>
                <w:color w:val="000000"/>
              </w:rPr>
              <w:t xml:space="preserve">По 5 сдвижных легкосъемных стоек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Nevpa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с каждой стороны.</w:t>
            </w:r>
            <w:r>
              <w:rPr>
                <w:rFonts w:ascii="Tahoma" w:eastAsia="Tahoma" w:hAnsi="Tahoma" w:cs="Tahoma"/>
                <w:color w:val="000000"/>
              </w:rPr>
              <w:br/>
              <w:t>Алюминиевая обрешётка из 2-х рядов V-образных планок и 3-х рядов обычных планок.</w:t>
            </w:r>
            <w:r>
              <w:rPr>
                <w:rFonts w:ascii="Tahoma" w:eastAsia="Tahoma" w:hAnsi="Tahoma" w:cs="Tahoma"/>
                <w:color w:val="000000"/>
              </w:rPr>
              <w:br/>
              <w:t>14 стальных коников длиной 2150х80х80 мм</w:t>
            </w:r>
          </w:p>
        </w:tc>
      </w:tr>
      <w:tr w:rsidR="00435E84" w14:paraId="732F53FA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B33D5B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Крыша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04571E6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Сдвижная крыша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Versus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 xml:space="preserve">на алюминиевых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рейлингах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, от задней части прицепа к передней.  По 6 роликов с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промподшипниками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на каждую поперечную планку</w:t>
            </w:r>
          </w:p>
        </w:tc>
      </w:tr>
      <w:tr w:rsidR="00435E84" w14:paraId="56AB4F55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58C56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Задние ворота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4D5BC73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  <w:vertAlign w:val="superscript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2 распашные на 270 градусов двери из сэндвич-панелей. По 2 запорных механизма на каждую дверь фирмы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Nevpa</w:t>
            </w:r>
            <w:proofErr w:type="spellEnd"/>
          </w:p>
        </w:tc>
      </w:tr>
      <w:tr w:rsidR="00435E84" w14:paraId="393AEA9C" w14:textId="77777777" w:rsidTr="00F66C23">
        <w:trPr>
          <w:trHeight w:val="300"/>
        </w:trPr>
        <w:tc>
          <w:tcPr>
            <w:tcW w:w="103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14:paraId="050F5BA1" w14:textId="77777777" w:rsidR="00435E84" w:rsidRDefault="00435E84" w:rsidP="00F66C23">
            <w:pPr>
              <w:pStyle w:val="1"/>
              <w:ind w:left="108"/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СИСТЕМЫ ПОДВЕСКИ И ТОРМОЖЕНИЯ</w:t>
            </w:r>
          </w:p>
        </w:tc>
      </w:tr>
      <w:tr w:rsidR="00435E84" w14:paraId="6BA1971B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14:paraId="24472237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br/>
              <w:t>Оси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7F84CA7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4 оси 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SAF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Intradisc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CD</w:t>
            </w:r>
            <w:r>
              <w:rPr>
                <w:rFonts w:ascii="Tahoma" w:eastAsia="Tahoma" w:hAnsi="Tahoma" w:cs="Tahoma"/>
                <w:color w:val="000000"/>
              </w:rPr>
              <w:t xml:space="preserve"> (усиленные), дисковые тормоза диаметром 430 мм, пневматическая подвеска. На первой и четвертой оси устройство автоматического подъема. </w:t>
            </w:r>
          </w:p>
        </w:tc>
      </w:tr>
      <w:tr w:rsidR="00435E84" w14:paraId="639651FD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2ECAFD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lastRenderedPageBreak/>
              <w:t>Тормозная система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B2E2034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Тормозная система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Wabco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PREMIUM TEBS </w:t>
            </w:r>
            <w:r>
              <w:rPr>
                <w:rFonts w:ascii="Tahoma" w:eastAsia="Tahoma" w:hAnsi="Tahoma" w:cs="Tahoma"/>
                <w:color w:val="000000"/>
              </w:rPr>
              <w:t xml:space="preserve">с системой </w:t>
            </w:r>
            <w:r>
              <w:rPr>
                <w:rFonts w:ascii="Tahoma" w:eastAsia="Tahoma" w:hAnsi="Tahoma" w:cs="Tahoma"/>
                <w:b/>
                <w:color w:val="000000"/>
              </w:rPr>
              <w:t>ABS 4S/2M</w:t>
            </w:r>
            <w:r>
              <w:rPr>
                <w:rFonts w:ascii="Tahoma" w:eastAsia="Tahoma" w:hAnsi="Tahoma" w:cs="Tahoma"/>
                <w:color w:val="000000"/>
              </w:rPr>
              <w:t xml:space="preserve"> и электронной системой устойчивости (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Roll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Stability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), </w:t>
            </w:r>
          </w:p>
        </w:tc>
      </w:tr>
      <w:tr w:rsidR="00435E84" w14:paraId="5FB31F24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454B8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Шины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4C2C959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9 штук 385/65 R 22.5 Марка Pirelli (или аналог) со стальными дисками, колесный вылет 120 мм</w:t>
            </w:r>
          </w:p>
        </w:tc>
      </w:tr>
      <w:tr w:rsidR="00435E84" w14:paraId="2AC12C91" w14:textId="77777777" w:rsidTr="00F66C23">
        <w:trPr>
          <w:trHeight w:val="300"/>
        </w:trPr>
        <w:tc>
          <w:tcPr>
            <w:tcW w:w="103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14:paraId="75BE90AD" w14:textId="77777777" w:rsidR="00435E84" w:rsidRDefault="00435E84" w:rsidP="00F66C23">
            <w:pPr>
              <w:pStyle w:val="1"/>
              <w:ind w:left="108"/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ПРОЧЕЕ ОБОРУДОВАНИЕ</w:t>
            </w:r>
          </w:p>
        </w:tc>
      </w:tr>
      <w:tr w:rsidR="00435E84" w14:paraId="2A0E1223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D789EC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Задняя защита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AD2F502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Задний бампер квадратного профиля, соответствует требованиям ЕЭК ООН №58-02</w:t>
            </w:r>
          </w:p>
        </w:tc>
      </w:tr>
      <w:tr w:rsidR="00435E84" w14:paraId="709EAF83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14:paraId="78DA9C55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Боковая защита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5AC5DFD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</w:rPr>
              <w:t>Из стали,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соответствует требованиям ЕЭК ООН №73-01</w:t>
            </w:r>
          </w:p>
        </w:tc>
      </w:tr>
      <w:tr w:rsidR="00435E84" w14:paraId="5216A332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C0377E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Подкрылок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31D9CD6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Подкрылки с системой предотвращения брызгообразования, соответствуют требованиям ТР ТС 018/2011 п.9 прил.№ 3</w:t>
            </w:r>
          </w:p>
        </w:tc>
      </w:tr>
      <w:tr w:rsidR="00435E84" w14:paraId="5E9AFCB8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7F8CE8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Светоотражатели и светоотражающая пленка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D4D6EA8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Соответствуют требованиям ЕЭК ООН 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>№3-01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>, соответствует директиве ЕЭК ООН №104 Красный на желтом на задней стороне.</w:t>
            </w:r>
          </w:p>
        </w:tc>
      </w:tr>
      <w:tr w:rsidR="00435E84" w14:paraId="1DF6C3A1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DE08F0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Освещение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309E72F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24 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>вольт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Aspock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, задние фонари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Europoint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3, боковые габаритные LED фонари. Соответствуют правилам ЕЭК ООН 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>№48-06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>, №6-01, №7-02, №23-00, №38-00, №91-00</w:t>
            </w:r>
          </w:p>
        </w:tc>
      </w:tr>
      <w:tr w:rsidR="00435E84" w14:paraId="7768B9EA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BBAAE4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Противооткатные упоры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097B789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 штуки, с креплением на раме.</w:t>
            </w:r>
          </w:p>
        </w:tc>
      </w:tr>
      <w:tr w:rsidR="00435E84" w14:paraId="45253CA3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B13A3A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Ящик для инструментов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5136C0F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Герметичный ящик из пластика.</w:t>
            </w:r>
          </w:p>
        </w:tc>
      </w:tr>
      <w:tr w:rsidR="00435E84" w14:paraId="6174A355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94141A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Держатель запасного колеса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BD40FF3" w14:textId="77777777" w:rsidR="00435E84" w:rsidRDefault="00435E84" w:rsidP="00F66C23">
            <w:pPr>
              <w:pStyle w:val="1"/>
              <w:ind w:left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Расположен под шасси.</w:t>
            </w:r>
          </w:p>
        </w:tc>
      </w:tr>
      <w:tr w:rsidR="00435E84" w14:paraId="37D29B7B" w14:textId="77777777" w:rsidTr="00F66C23">
        <w:trPr>
          <w:trHeight w:val="31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AAEDB6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Цвет шасси</w:t>
            </w:r>
          </w:p>
          <w:p w14:paraId="026E464C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И тента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5B8B89A8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Серый.</w:t>
            </w:r>
          </w:p>
          <w:p w14:paraId="132CC6C8" w14:textId="77777777" w:rsidR="00435E84" w:rsidRDefault="00435E84" w:rsidP="00F66C23">
            <w:pPr>
              <w:pStyle w:val="1"/>
              <w:ind w:left="37"/>
              <w:rPr>
                <w:rFonts w:ascii="Tahoma" w:eastAsia="Tahoma" w:hAnsi="Tahoma" w:cs="Tahoma"/>
                <w:color w:val="000000"/>
              </w:rPr>
            </w:pPr>
          </w:p>
        </w:tc>
      </w:tr>
      <w:tr w:rsidR="00435E84" w14:paraId="531871EA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A399B3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Шкворень и Механизм опускания-подъема  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04C1D9B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Шкворень «Кинг-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Пин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» марка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Jost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2” / марка SAF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Hercules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с S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foot</w:t>
            </w:r>
            <w:proofErr w:type="spellEnd"/>
          </w:p>
        </w:tc>
      </w:tr>
      <w:tr w:rsidR="00435E84" w14:paraId="0FBF3859" w14:textId="77777777" w:rsidTr="00F66C23">
        <w:trPr>
          <w:trHeight w:val="300"/>
        </w:trPr>
        <w:tc>
          <w:tcPr>
            <w:tcW w:w="191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D6F718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Окраска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0D252CC" w14:textId="77777777" w:rsidR="00435E84" w:rsidRDefault="00435E84" w:rsidP="00F66C23">
            <w:pPr>
              <w:pStyle w:val="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Основные детали и шасси проходят дробеструйную обработку и затем обрабатывается по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катафорезной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технологии KTL.  Заключительный слой из 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>2-х компонентной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краски</w:t>
            </w:r>
          </w:p>
        </w:tc>
      </w:tr>
      <w:tr w:rsidR="00435E84" w14:paraId="4BE227D6" w14:textId="77777777" w:rsidTr="00F66C23">
        <w:trPr>
          <w:trHeight w:val="580"/>
        </w:trPr>
        <w:tc>
          <w:tcPr>
            <w:tcW w:w="103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E178D0" w14:textId="77777777" w:rsidR="00435E84" w:rsidRDefault="00435E84" w:rsidP="00435E84">
            <w:pPr>
              <w:pStyle w:val="1"/>
              <w:numPr>
                <w:ilvl w:val="0"/>
                <w:numId w:val="3"/>
              </w:num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Внимание: согласно с нормами, действующими в РФ, при езде с поднятой одной или двумя осями не сохраняется максимально допустимая расстановка осей, то есть превышается радиус захода при поворотах. Так же при принудительном подъеме осей в груженом состоянии, нагрузка на остальные оси может превысить предельно допустимые законодательством РФ значения. В связи с этим езда с поднятыми осями может осуществляться исключительно на ответственность и риск Пользователя.</w:t>
            </w:r>
          </w:p>
          <w:p w14:paraId="25E48C2C" w14:textId="77777777" w:rsidR="00435E84" w:rsidRDefault="00435E84" w:rsidP="00435E84">
            <w:pPr>
              <w:pStyle w:val="1"/>
              <w:numPr>
                <w:ilvl w:val="0"/>
                <w:numId w:val="3"/>
              </w:numPr>
              <w:spacing w:line="240" w:lineRule="auto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Все массы и размеры с допуском не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более  +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/- 3%.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br/>
            </w:r>
          </w:p>
        </w:tc>
      </w:tr>
    </w:tbl>
    <w:p w14:paraId="4D6473F8" w14:textId="21C1D08E" w:rsidR="00A223E8" w:rsidRPr="00435E84" w:rsidRDefault="00A223E8" w:rsidP="00A223E8">
      <w:pPr>
        <w:pStyle w:val="a9"/>
        <w:rPr>
          <w:rFonts w:ascii="Arial" w:eastAsia="Times New Roman" w:hAnsi="Arial" w:cs="Arial"/>
          <w:b/>
          <w:bCs/>
          <w:kern w:val="28"/>
          <w:u w:color="000000"/>
          <w:lang w:eastAsia="de-DE"/>
        </w:rPr>
      </w:pPr>
    </w:p>
    <w:sectPr w:rsidR="00A223E8" w:rsidRPr="00435E84" w:rsidSect="00FD2E35">
      <w:headerReference w:type="default" r:id="rId7"/>
      <w:pgSz w:w="11906" w:h="16838"/>
      <w:pgMar w:top="567" w:right="850" w:bottom="1134" w:left="567" w:header="142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CB41" w14:textId="77777777" w:rsidR="00AC3CD8" w:rsidRDefault="00AC3CD8" w:rsidP="0028073F">
      <w:pPr>
        <w:spacing w:after="0" w:line="240" w:lineRule="auto"/>
      </w:pPr>
      <w:r>
        <w:separator/>
      </w:r>
    </w:p>
  </w:endnote>
  <w:endnote w:type="continuationSeparator" w:id="0">
    <w:p w14:paraId="44D8973A" w14:textId="77777777" w:rsidR="00AC3CD8" w:rsidRDefault="00AC3CD8" w:rsidP="0028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057B" w14:textId="77777777" w:rsidR="00AC3CD8" w:rsidRDefault="00AC3CD8" w:rsidP="0028073F">
      <w:pPr>
        <w:spacing w:after="0" w:line="240" w:lineRule="auto"/>
      </w:pPr>
      <w:r>
        <w:separator/>
      </w:r>
    </w:p>
  </w:footnote>
  <w:footnote w:type="continuationSeparator" w:id="0">
    <w:p w14:paraId="698BE0A8" w14:textId="77777777" w:rsidR="00AC3CD8" w:rsidRDefault="00AC3CD8" w:rsidP="0028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6C1B" w14:textId="7B92A15B" w:rsidR="0028073F" w:rsidRDefault="00D86350" w:rsidP="00FD2E35">
    <w:pPr>
      <w:pStyle w:val="a3"/>
      <w:tabs>
        <w:tab w:val="clear" w:pos="4677"/>
        <w:tab w:val="clear" w:pos="9355"/>
        <w:tab w:val="left" w:pos="6210"/>
        <w:tab w:val="left" w:pos="8535"/>
      </w:tabs>
      <w:ind w:left="-567"/>
    </w:pPr>
    <w:r>
      <w:rPr>
        <w:noProof/>
      </w:rPr>
      <w:drawing>
        <wp:inline distT="0" distB="0" distL="0" distR="0" wp14:anchorId="434515EC" wp14:editId="4D8ED1DA">
          <wp:extent cx="1950720" cy="1183583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459" cy="118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5B31">
      <w:tab/>
    </w:r>
    <w:r w:rsidR="001B4A2B">
      <w:t xml:space="preserve">            </w:t>
    </w:r>
    <w:r w:rsidR="00FD2E35">
      <w:tab/>
    </w:r>
  </w:p>
  <w:p w14:paraId="0CBEC479" w14:textId="77777777" w:rsidR="0028073F" w:rsidRDefault="002807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24EE"/>
    <w:multiLevelType w:val="multilevel"/>
    <w:tmpl w:val="E8FC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14D4A"/>
    <w:multiLevelType w:val="multilevel"/>
    <w:tmpl w:val="450EA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FE75FCA"/>
    <w:multiLevelType w:val="multilevel"/>
    <w:tmpl w:val="3CC0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844118">
    <w:abstractNumId w:val="0"/>
  </w:num>
  <w:num w:numId="2" w16cid:durableId="506795505">
    <w:abstractNumId w:val="2"/>
  </w:num>
  <w:num w:numId="3" w16cid:durableId="53072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1E"/>
    <w:rsid w:val="00001FA1"/>
    <w:rsid w:val="00023977"/>
    <w:rsid w:val="00023B3C"/>
    <w:rsid w:val="00054727"/>
    <w:rsid w:val="000554DB"/>
    <w:rsid w:val="00061F67"/>
    <w:rsid w:val="00092424"/>
    <w:rsid w:val="000A0F0D"/>
    <w:rsid w:val="000D048D"/>
    <w:rsid w:val="000E3879"/>
    <w:rsid w:val="000E777D"/>
    <w:rsid w:val="001019EE"/>
    <w:rsid w:val="00151032"/>
    <w:rsid w:val="001725C4"/>
    <w:rsid w:val="00180B98"/>
    <w:rsid w:val="00184422"/>
    <w:rsid w:val="00187014"/>
    <w:rsid w:val="001B33E9"/>
    <w:rsid w:val="001B4A2B"/>
    <w:rsid w:val="001C27F5"/>
    <w:rsid w:val="001E31B0"/>
    <w:rsid w:val="001E53E8"/>
    <w:rsid w:val="00200A1D"/>
    <w:rsid w:val="00212D32"/>
    <w:rsid w:val="00223495"/>
    <w:rsid w:val="0022658A"/>
    <w:rsid w:val="00271792"/>
    <w:rsid w:val="00271B65"/>
    <w:rsid w:val="00277941"/>
    <w:rsid w:val="0028073F"/>
    <w:rsid w:val="002A1CA8"/>
    <w:rsid w:val="002B7082"/>
    <w:rsid w:val="002E5F46"/>
    <w:rsid w:val="002F6EC4"/>
    <w:rsid w:val="0030106B"/>
    <w:rsid w:val="00307898"/>
    <w:rsid w:val="0035579F"/>
    <w:rsid w:val="00367441"/>
    <w:rsid w:val="00375D62"/>
    <w:rsid w:val="00394A9D"/>
    <w:rsid w:val="00395603"/>
    <w:rsid w:val="003B3594"/>
    <w:rsid w:val="003D3864"/>
    <w:rsid w:val="003E57B3"/>
    <w:rsid w:val="004013E3"/>
    <w:rsid w:val="00402F6A"/>
    <w:rsid w:val="00405FDC"/>
    <w:rsid w:val="00435E84"/>
    <w:rsid w:val="0044130C"/>
    <w:rsid w:val="00452BDE"/>
    <w:rsid w:val="0045760B"/>
    <w:rsid w:val="00470467"/>
    <w:rsid w:val="00474F61"/>
    <w:rsid w:val="0048223A"/>
    <w:rsid w:val="00482F98"/>
    <w:rsid w:val="00484AF1"/>
    <w:rsid w:val="00490071"/>
    <w:rsid w:val="0049752D"/>
    <w:rsid w:val="004B4991"/>
    <w:rsid w:val="004C2BE4"/>
    <w:rsid w:val="00526ECF"/>
    <w:rsid w:val="0055058F"/>
    <w:rsid w:val="00552803"/>
    <w:rsid w:val="00566713"/>
    <w:rsid w:val="00572060"/>
    <w:rsid w:val="00580DB4"/>
    <w:rsid w:val="0058519A"/>
    <w:rsid w:val="00595B43"/>
    <w:rsid w:val="005964CF"/>
    <w:rsid w:val="005966C7"/>
    <w:rsid w:val="005A6BB5"/>
    <w:rsid w:val="005B1486"/>
    <w:rsid w:val="005D6E3F"/>
    <w:rsid w:val="00603419"/>
    <w:rsid w:val="00616FAB"/>
    <w:rsid w:val="00621E97"/>
    <w:rsid w:val="00634A93"/>
    <w:rsid w:val="00660C30"/>
    <w:rsid w:val="0067594E"/>
    <w:rsid w:val="00690351"/>
    <w:rsid w:val="0069765A"/>
    <w:rsid w:val="006A22B5"/>
    <w:rsid w:val="006B1C01"/>
    <w:rsid w:val="006D4C3A"/>
    <w:rsid w:val="006E2D89"/>
    <w:rsid w:val="006E5C79"/>
    <w:rsid w:val="006F6FF3"/>
    <w:rsid w:val="0071778B"/>
    <w:rsid w:val="00721E0B"/>
    <w:rsid w:val="007634B2"/>
    <w:rsid w:val="007856F2"/>
    <w:rsid w:val="00786869"/>
    <w:rsid w:val="007C4702"/>
    <w:rsid w:val="007D3264"/>
    <w:rsid w:val="0080771E"/>
    <w:rsid w:val="00820752"/>
    <w:rsid w:val="008256E3"/>
    <w:rsid w:val="00831B82"/>
    <w:rsid w:val="00833F0F"/>
    <w:rsid w:val="0084025A"/>
    <w:rsid w:val="0084269A"/>
    <w:rsid w:val="008438AD"/>
    <w:rsid w:val="0084737D"/>
    <w:rsid w:val="00887083"/>
    <w:rsid w:val="008A548A"/>
    <w:rsid w:val="008A5C90"/>
    <w:rsid w:val="008A6212"/>
    <w:rsid w:val="008B049D"/>
    <w:rsid w:val="008B15E8"/>
    <w:rsid w:val="008C3D2B"/>
    <w:rsid w:val="008E6A50"/>
    <w:rsid w:val="00905B31"/>
    <w:rsid w:val="00906904"/>
    <w:rsid w:val="00910DD9"/>
    <w:rsid w:val="0092383C"/>
    <w:rsid w:val="00933879"/>
    <w:rsid w:val="009353AD"/>
    <w:rsid w:val="009508B0"/>
    <w:rsid w:val="00977F2E"/>
    <w:rsid w:val="0099460A"/>
    <w:rsid w:val="009C3719"/>
    <w:rsid w:val="009C4E84"/>
    <w:rsid w:val="009D6753"/>
    <w:rsid w:val="00A06756"/>
    <w:rsid w:val="00A223E8"/>
    <w:rsid w:val="00A5197A"/>
    <w:rsid w:val="00A70F20"/>
    <w:rsid w:val="00AC3CD8"/>
    <w:rsid w:val="00AC3FC0"/>
    <w:rsid w:val="00AD11B2"/>
    <w:rsid w:val="00AF1561"/>
    <w:rsid w:val="00AF4CA6"/>
    <w:rsid w:val="00B04371"/>
    <w:rsid w:val="00B12A1C"/>
    <w:rsid w:val="00B220A5"/>
    <w:rsid w:val="00B2721A"/>
    <w:rsid w:val="00B3258C"/>
    <w:rsid w:val="00B724B6"/>
    <w:rsid w:val="00B941D5"/>
    <w:rsid w:val="00BA1F0B"/>
    <w:rsid w:val="00BE4C43"/>
    <w:rsid w:val="00BF38FE"/>
    <w:rsid w:val="00C012D4"/>
    <w:rsid w:val="00C165E2"/>
    <w:rsid w:val="00C169DD"/>
    <w:rsid w:val="00C30CC5"/>
    <w:rsid w:val="00C55F09"/>
    <w:rsid w:val="00C80E2D"/>
    <w:rsid w:val="00CE7F6E"/>
    <w:rsid w:val="00D01340"/>
    <w:rsid w:val="00D14910"/>
    <w:rsid w:val="00D2114A"/>
    <w:rsid w:val="00D2571E"/>
    <w:rsid w:val="00D53719"/>
    <w:rsid w:val="00D83AC8"/>
    <w:rsid w:val="00D86350"/>
    <w:rsid w:val="00DA2E02"/>
    <w:rsid w:val="00DA2FD3"/>
    <w:rsid w:val="00DA496B"/>
    <w:rsid w:val="00DE20D9"/>
    <w:rsid w:val="00DF0A48"/>
    <w:rsid w:val="00DF5740"/>
    <w:rsid w:val="00DF60B1"/>
    <w:rsid w:val="00E07565"/>
    <w:rsid w:val="00E13625"/>
    <w:rsid w:val="00E13972"/>
    <w:rsid w:val="00E16C6A"/>
    <w:rsid w:val="00E464A3"/>
    <w:rsid w:val="00E771C1"/>
    <w:rsid w:val="00E82ADA"/>
    <w:rsid w:val="00E84598"/>
    <w:rsid w:val="00E977BC"/>
    <w:rsid w:val="00EB2474"/>
    <w:rsid w:val="00EB4894"/>
    <w:rsid w:val="00EC7D30"/>
    <w:rsid w:val="00ED1AAC"/>
    <w:rsid w:val="00EE2E06"/>
    <w:rsid w:val="00EE4E8C"/>
    <w:rsid w:val="00F0741E"/>
    <w:rsid w:val="00F136C2"/>
    <w:rsid w:val="00F4082D"/>
    <w:rsid w:val="00F42E04"/>
    <w:rsid w:val="00F62B78"/>
    <w:rsid w:val="00F7693C"/>
    <w:rsid w:val="00F8703A"/>
    <w:rsid w:val="00FA7C72"/>
    <w:rsid w:val="00FB5AEF"/>
    <w:rsid w:val="00F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8BD0"/>
  <w15:chartTrackingRefBased/>
  <w15:docId w15:val="{5027D7EE-13D4-456A-BEFD-0A9E57A6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B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8073F"/>
  </w:style>
  <w:style w:type="paragraph" w:styleId="a5">
    <w:name w:val="footer"/>
    <w:basedOn w:val="a"/>
    <w:link w:val="a6"/>
    <w:uiPriority w:val="99"/>
    <w:unhideWhenUsed/>
    <w:rsid w:val="00280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8073F"/>
  </w:style>
  <w:style w:type="table" w:styleId="a7">
    <w:name w:val="Table Grid"/>
    <w:basedOn w:val="a1"/>
    <w:uiPriority w:val="59"/>
    <w:rsid w:val="0048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484AF1"/>
    <w:rPr>
      <w:color w:val="0000FF"/>
      <w:u w:val="single"/>
    </w:rPr>
  </w:style>
  <w:style w:type="paragraph" w:customStyle="1" w:styleId="1">
    <w:name w:val="Обычный1"/>
    <w:rsid w:val="00B220A5"/>
    <w:pPr>
      <w:spacing w:after="0" w:line="276" w:lineRule="auto"/>
    </w:pPr>
    <w:rPr>
      <w:rFonts w:ascii="Arial" w:eastAsia="Arial" w:hAnsi="Arial" w:cs="Arial"/>
      <w:lang w:eastAsia="ru-RU"/>
    </w:rPr>
  </w:style>
  <w:style w:type="table" w:styleId="3-2">
    <w:name w:val="Medium Grid 3 Accent 2"/>
    <w:basedOn w:val="a1"/>
    <w:uiPriority w:val="69"/>
    <w:rsid w:val="00C169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styleId="a9">
    <w:name w:val="No Spacing"/>
    <w:uiPriority w:val="1"/>
    <w:qFormat/>
    <w:rsid w:val="00A223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7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4668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890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75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1962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8934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501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508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320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377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269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3832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151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transportlog2013@yandex.ru</cp:lastModifiedBy>
  <cp:revision>56</cp:revision>
  <dcterms:created xsi:type="dcterms:W3CDTF">2021-02-19T13:06:00Z</dcterms:created>
  <dcterms:modified xsi:type="dcterms:W3CDTF">2023-02-16T09:23:00Z</dcterms:modified>
</cp:coreProperties>
</file>